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Override ContentType="application/vnd.openxmlformats-officedocument.wordprocessingml.header+xml" PartName="/word/header2.xml"/>
  <Override ContentType="application/vnd.openxmlformats-officedocument.wordprocessingml.footer+xml" PartName="/word/footer2.xml"/>
  <Override ContentType="application/vnd.openxmlformats-officedocument.wordprocessingml.header+xml" PartName="/word/header3.xml"/>
  <Override ContentType="application/vnd.openxmlformats-officedocument.wordprocessingml.footer+xml" PartName="/word/footer3.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pPr>
      <w:r>
        <w:drawing>
          <wp:inline distT="0" distB="0" distL="0" distR="0">
            <wp:extent cx="6286500" cy="4191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 cstate="none"/>
                    <a:srcRect/>
                    <a:stretch>
                      <a:fillRect/>
                    </a:stretch>
                  </pic:blipFill>
                  <pic:spPr bwMode="auto">
                    <a:xfrm>
                      <a:off x="0" y="0"/>
                      <a:ext cx="6286500" cy="4191000"/>
                    </a:xfrm>
                    <a:prstGeom prst="rect">
                      <a:avLst/>
                    </a:prstGeom>
                  </pic:spPr>
                </pic:pic>
              </a:graphicData>
            </a:graphic>
          </wp:inline>
        </w:drawing>
      </w:r>
    </w:p>
    <w:p>
      <w:pPr>
        <w:keepNext/>
        <w:shd w:fill="9a6b34" w:color="auto" w:val="clear"/>
        <w:spacing w:after="0" w:before="60"/>
      </w:pPr>
      <w:r>
        <w:rPr>
          <w:rFonts w:ascii="Calibri" w:cs="Calibri" w:eastAsia="Calibri" w:hAnsi="Calibri"/>
          <w:color w:val="FFFFFF"/>
          <w:sz w:val="16"/>
          <w:szCs w:val="16"/>
        </w:rPr>
        <w:t xml:space="preserve">—  —  —</w:t>
      </w:r>
    </w:p>
    <w:p>
      <w:pPr>
        <w:keepNext/>
        <w:shd w:fill="9a6b34" w:color="auto" w:val="clear"/>
        <w:spacing w:after="0"/>
      </w:pPr>
      <w:r>
        <w:rPr>
          <w:rFonts w:ascii="Georgia" w:cs="Georgia" w:eastAsia="Georgia" w:hAnsi="Georgia"/>
          <w:b/>
          <w:bCs/>
          <w:color w:val="FFFFFF"/>
          <w:sz w:val="40"/>
          <w:szCs w:val="40"/>
        </w:rPr>
        <w:t xml:space="preserve">SANTUARIOS Y BARCELONA</w:t>
      </w:r>
    </w:p>
    <w:p>
      <w:pPr>
        <w:keepNext/>
        <w:shd w:fill="9a6b34" w:color="auto" w:val="clear"/>
        <w:spacing w:after="0"/>
      </w:pPr>
      <w:r>
        <w:rPr>
          <w:rFonts w:ascii="Calibri" w:cs="Calibri" w:eastAsia="Calibri" w:hAnsi="Calibri"/>
          <w:color w:val="FFFFFF"/>
          <w:spacing w:val="40"/>
          <w:sz w:val="15"/>
          <w:szCs w:val="15"/>
        </w:rPr>
        <w:t xml:space="preserve">CIRCUITO</w:t>
      </w:r>
    </w:p>
    <w:p>
      <w:pPr>
        <w:keepNext/>
        <w:shd w:fill="9a6b34" w:color="auto" w:val="clear"/>
        <w:spacing w:after="120"/>
      </w:pPr>
      <w:r>
        <w:rPr>
          <w:rFonts w:ascii="Georgia" w:cs="Georgia" w:eastAsia="Georgia" w:hAnsi="Georgia"/>
          <w:i/>
          <w:iCs/>
          <w:color w:val="F5F5F5"/>
          <w:sz w:val="19"/>
          <w:szCs w:val="19"/>
        </w:rPr>
        <w:t xml:space="preserve">París, Lourdes, Santiago, Fátima y las capitales españolas</w:t>
      </w:r>
    </w:p>
    <w:p>
      <w:pPr>
        <w:spacing w:after="40"/>
      </w:pPr>
      <w:r>
        <w:rPr>
          <w:rFonts w:ascii="Georgia" w:cs="Georgia" w:eastAsia="Georgia" w:hAnsi="Georgia"/>
          <w:i/>
          <w:iCs/>
          <w:color w:val="1E293B"/>
          <w:sz w:val="20"/>
          <w:szCs w:val="20"/>
        </w:rPr>
        <w:t xml:space="preserve">«De París a Barcelona por los grandes santuarios»</w:t>
      </w:r>
    </w:p>
    <w:p>
      <w:pPr>
        <w:spacing w:after="60"/>
      </w:pPr>
      <w:r>
        <w:rPr>
          <w:rFonts w:ascii="Calibri" w:cs="Calibri" w:eastAsia="Calibri" w:hAnsi="Calibri"/>
          <w:color w:val="6B7280"/>
          <w:sz w:val="16"/>
          <w:szCs w:val="16"/>
        </w:rPr>
        <w:t xml:space="preserve">Descubriendo... París (3) / Tours (1) / Lourdes (1) / Cangas de Onís (1) / Santiago de Compostela (1) / Fátima (1) / Lisboa (1) / Madrid (2) / Barcelona (2)</w:t>
      </w:r>
    </w:p>
    <w:p>
      <w:pPr>
        <w:spacing w:after="40" w:before="40"/>
      </w:pPr>
      <w:r>
        <w:rPr>
          <w:rFonts w:ascii="Calibri" w:cs="Calibri" w:eastAsia="Calibri" w:hAnsi="Calibri"/>
          <w:b/>
          <w:bCs/>
          <w:color w:val="1E293B"/>
          <w:sz w:val="22"/>
          <w:szCs w:val="22"/>
        </w:rPr>
        <w:t xml:space="preserve">15 días</w:t>
      </w:r>
      <w:r>
        <w:rPr>
          <w:rFonts w:ascii="Calibri" w:cs="Calibri" w:eastAsia="Calibri" w:hAnsi="Calibri"/>
        </w:rPr>
        <w:t xml:space="preserve">    </w:t>
      </w:r>
      <w:r>
        <w:rPr>
          <w:rFonts w:ascii="Calibri" w:cs="Calibri" w:eastAsia="Calibri" w:hAnsi="Calibri"/>
          <w:color w:val="9a6b34"/>
          <w:spacing w:val="30"/>
          <w:sz w:val="14"/>
          <w:szCs w:val="14"/>
        </w:rPr>
        <w:t xml:space="preserve">DESDE</w:t>
      </w:r>
      <w:r>
        <w:rPr>
          <w:rFonts w:ascii="Calibri" w:cs="Calibri" w:eastAsia="Calibri" w:hAnsi="Calibri"/>
        </w:rPr>
        <w:t xml:space="preserve">  </w:t>
      </w:r>
      <w:r>
        <w:rPr>
          <w:rFonts w:ascii="Georgia" w:cs="Georgia" w:eastAsia="Georgia" w:hAnsi="Georgia"/>
          <w:b/>
          <w:bCs/>
          <w:color w:val="9A1F1F"/>
          <w:sz w:val="28"/>
          <w:szCs w:val="28"/>
        </w:rPr>
        <w:t xml:space="preserve">2940$</w:t>
      </w:r>
    </w:p>
    <w:p>
      <w:pPr>
        <w:keepNext/>
        <w:pBdr>
          <w:bottom w:val="single" w:color="9a6b34" w:sz="8" w:space="3"/>
        </w:pBdr>
        <w:spacing w:after="60" w:before="180"/>
      </w:pPr>
      <w:r>
        <w:rPr>
          <w:rFonts w:ascii="Georgia" w:cs="Georgia" w:eastAsia="Georgia" w:hAnsi="Georgia"/>
          <w:b/>
          <w:bCs/>
          <w:color w:val="1E293B"/>
          <w:sz w:val="22"/>
          <w:szCs w:val="22"/>
        </w:rPr>
        <w:t xml:space="preserve">Fechas de salida</w:t>
      </w:r>
    </w:p>
    <w:p>
      <w:pPr>
        <w:spacing w:after="20" w:before="40"/>
      </w:pPr>
      <w:r>
        <w:rPr>
          <w:rFonts w:ascii="Calibri" w:cs="Calibri" w:eastAsia="Calibri" w:hAnsi="Calibri"/>
          <w:b/>
          <w:bCs/>
          <w:color w:val="1E293B"/>
          <w:sz w:val="17"/>
          <w:szCs w:val="17"/>
        </w:rPr>
        <w:t xml:space="preserve">A París: Jueves 2027</w:t>
      </w:r>
    </w:p>
    <w:p>
      <w:pPr>
        <w:spacing w:after="10"/>
      </w:pPr>
      <w:r>
        <w:rPr>
          <w:rFonts w:ascii="Calibri" w:cs="Calibri" w:eastAsia="Calibri" w:hAnsi="Calibri"/>
          <w:b/>
          <w:bCs/>
          <w:color w:val="1E293B"/>
          <w:sz w:val="16"/>
          <w:szCs w:val="16"/>
        </w:rPr>
        <w:t xml:space="preserve">Abril: </w:t>
      </w:r>
      <w:r>
        <w:rPr>
          <w:rFonts w:ascii="Calibri" w:cs="Calibri" w:eastAsia="Calibri" w:hAnsi="Calibri"/>
          <w:color w:val="1E293B"/>
          <w:sz w:val="16"/>
          <w:szCs w:val="16"/>
        </w:rPr>
        <w:t xml:space="preserve">01, 22</w:t>
      </w:r>
    </w:p>
    <w:p>
      <w:pPr>
        <w:spacing w:after="10"/>
      </w:pPr>
      <w:r>
        <w:rPr>
          <w:rFonts w:ascii="Calibri" w:cs="Calibri" w:eastAsia="Calibri" w:hAnsi="Calibri"/>
          <w:b/>
          <w:bCs/>
          <w:color w:val="1E293B"/>
          <w:sz w:val="16"/>
          <w:szCs w:val="16"/>
        </w:rPr>
        <w:t xml:space="preserve">Mayo: </w:t>
      </w:r>
      <w:r>
        <w:rPr>
          <w:rFonts w:ascii="Calibri" w:cs="Calibri" w:eastAsia="Calibri" w:hAnsi="Calibri"/>
          <w:color w:val="1E293B"/>
          <w:sz w:val="16"/>
          <w:szCs w:val="16"/>
        </w:rPr>
        <w:t xml:space="preserve">13</w:t>
      </w:r>
    </w:p>
    <w:p>
      <w:pPr>
        <w:spacing w:after="10"/>
      </w:pPr>
      <w:r>
        <w:rPr>
          <w:rFonts w:ascii="Calibri" w:cs="Calibri" w:eastAsia="Calibri" w:hAnsi="Calibri"/>
          <w:b/>
          <w:bCs/>
          <w:color w:val="1E293B"/>
          <w:sz w:val="16"/>
          <w:szCs w:val="16"/>
        </w:rPr>
        <w:t xml:space="preserve">Junio: </w:t>
      </w:r>
      <w:r>
        <w:rPr>
          <w:rFonts w:ascii="Calibri" w:cs="Calibri" w:eastAsia="Calibri" w:hAnsi="Calibri"/>
          <w:color w:val="1E293B"/>
          <w:sz w:val="16"/>
          <w:szCs w:val="16"/>
        </w:rPr>
        <w:t xml:space="preserve">03, 24</w:t>
      </w:r>
    </w:p>
    <w:p>
      <w:pPr>
        <w:spacing w:after="10"/>
      </w:pPr>
      <w:r>
        <w:rPr>
          <w:rFonts w:ascii="Calibri" w:cs="Calibri" w:eastAsia="Calibri" w:hAnsi="Calibri"/>
          <w:b/>
          <w:bCs/>
          <w:color w:val="1E293B"/>
          <w:sz w:val="16"/>
          <w:szCs w:val="16"/>
        </w:rPr>
        <w:t xml:space="preserve">Julio: </w:t>
      </w:r>
      <w:r>
        <w:rPr>
          <w:rFonts w:ascii="Calibri" w:cs="Calibri" w:eastAsia="Calibri" w:hAnsi="Calibri"/>
          <w:color w:val="1E293B"/>
          <w:sz w:val="16"/>
          <w:szCs w:val="16"/>
        </w:rPr>
        <w:t xml:space="preserve">15</w:t>
      </w:r>
    </w:p>
    <w:p>
      <w:pPr>
        <w:spacing w:after="10"/>
      </w:pPr>
      <w:r>
        <w:rPr>
          <w:rFonts w:ascii="Calibri" w:cs="Calibri" w:eastAsia="Calibri" w:hAnsi="Calibri"/>
          <w:b/>
          <w:bCs/>
          <w:color w:val="1E293B"/>
          <w:sz w:val="16"/>
          <w:szCs w:val="16"/>
        </w:rPr>
        <w:t xml:space="preserve">Agosto: </w:t>
      </w:r>
      <w:r>
        <w:rPr>
          <w:rFonts w:ascii="Calibri" w:cs="Calibri" w:eastAsia="Calibri" w:hAnsi="Calibri"/>
          <w:color w:val="1E293B"/>
          <w:sz w:val="16"/>
          <w:szCs w:val="16"/>
        </w:rPr>
        <w:t xml:space="preserve">05, 26</w:t>
      </w:r>
    </w:p>
    <w:p>
      <w:pPr>
        <w:spacing w:after="10"/>
      </w:pPr>
      <w:r>
        <w:rPr>
          <w:rFonts w:ascii="Calibri" w:cs="Calibri" w:eastAsia="Calibri" w:hAnsi="Calibri"/>
          <w:b/>
          <w:bCs/>
          <w:color w:val="1E293B"/>
          <w:sz w:val="16"/>
          <w:szCs w:val="16"/>
        </w:rPr>
        <w:t xml:space="preserve">Septiembre: </w:t>
      </w:r>
      <w:r>
        <w:rPr>
          <w:rFonts w:ascii="Calibri" w:cs="Calibri" w:eastAsia="Calibri" w:hAnsi="Calibri"/>
          <w:color w:val="1E293B"/>
          <w:sz w:val="16"/>
          <w:szCs w:val="16"/>
        </w:rPr>
        <w:t xml:space="preserve">16</w:t>
      </w:r>
    </w:p>
    <w:p>
      <w:pPr>
        <w:spacing w:after="10"/>
      </w:pPr>
      <w:r>
        <w:rPr>
          <w:rFonts w:ascii="Calibri" w:cs="Calibri" w:eastAsia="Calibri" w:hAnsi="Calibri"/>
          <w:b/>
          <w:bCs/>
          <w:color w:val="1E293B"/>
          <w:sz w:val="16"/>
          <w:szCs w:val="16"/>
        </w:rPr>
        <w:t xml:space="preserve">Octubre: </w:t>
      </w:r>
      <w:r>
        <w:rPr>
          <w:rFonts w:ascii="Calibri" w:cs="Calibri" w:eastAsia="Calibri" w:hAnsi="Calibri"/>
          <w:color w:val="1E293B"/>
          <w:sz w:val="16"/>
          <w:szCs w:val="16"/>
        </w:rPr>
        <w:t xml:space="preserve">07, 28</w:t>
      </w:r>
    </w:p>
    <w:p>
      <w:pPr>
        <w:spacing w:after="10"/>
      </w:pPr>
      <w:r>
        <w:rPr>
          <w:rFonts w:ascii="Calibri" w:cs="Calibri" w:eastAsia="Calibri" w:hAnsi="Calibri"/>
          <w:b/>
          <w:bCs/>
          <w:color w:val="1E293B"/>
          <w:sz w:val="16"/>
          <w:szCs w:val="16"/>
        </w:rPr>
        <w:t xml:space="preserve">Noviembre: </w:t>
      </w:r>
      <w:r>
        <w:rPr>
          <w:rFonts w:ascii="Calibri" w:cs="Calibri" w:eastAsia="Calibri" w:hAnsi="Calibri"/>
          <w:color w:val="1E293B"/>
          <w:sz w:val="16"/>
          <w:szCs w:val="16"/>
        </w:rPr>
        <w:t xml:space="preserve">18</w:t>
      </w:r>
    </w:p>
    <w:p>
      <w:pPr>
        <w:spacing w:after="10"/>
      </w:pPr>
      <w:r>
        <w:rPr>
          <w:rFonts w:ascii="Calibri" w:cs="Calibri" w:eastAsia="Calibri" w:hAnsi="Calibri"/>
          <w:b/>
          <w:bCs/>
          <w:color w:val="1E293B"/>
          <w:sz w:val="16"/>
          <w:szCs w:val="16"/>
        </w:rPr>
        <w:t xml:space="preserve">Diciembre: </w:t>
      </w:r>
      <w:r>
        <w:rPr>
          <w:rFonts w:ascii="Calibri" w:cs="Calibri" w:eastAsia="Calibri" w:hAnsi="Calibri"/>
          <w:color w:val="1E293B"/>
          <w:sz w:val="16"/>
          <w:szCs w:val="16"/>
        </w:rPr>
        <w:t xml:space="preserve">09, 30</w:t>
      </w:r>
    </w:p>
    <w:p>
      <w:pPr>
        <w:keepNext/>
        <w:pBdr>
          <w:bottom w:val="single" w:color="9a6b34" w:sz="8" w:space="3"/>
        </w:pBdr>
        <w:spacing w:after="60" w:before="180"/>
      </w:pPr>
      <w:r>
        <w:rPr>
          <w:rFonts w:ascii="Georgia" w:cs="Georgia" w:eastAsia="Georgia" w:hAnsi="Georgia"/>
          <w:b/>
          <w:bCs/>
          <w:color w:val="1E293B"/>
          <w:sz w:val="22"/>
          <w:szCs w:val="22"/>
        </w:rPr>
        <w:t xml:space="preserve">Itinerario día a día</w:t>
      </w:r>
    </w:p>
    <w:p>
      <w:pPr>
        <w:sectPr>
          <w:headerReference w:type="default" r:id="rId7"/>
          <w:footerReference w:type="default" r:id="rId8"/>
          <w:type w:val="nextPage"/>
          <w:pgSz w:w="11906" w:h="16838" w:orient="portrait"/>
          <w:pgMar w:top="1080" w:right="720" w:bottom="900" w:left="720" w:header="708" w:footer="708" w:gutter="0"/>
          <w:pgNumType/>
          <w:docGrid w:linePitch="360"/>
        </w:sectPr>
      </w:pPr>
    </w:p>
    <w:p>
      <w:pPr>
        <w:keepNext/>
        <w:spacing w:after="0" w:before="80"/>
      </w:pPr>
      <w:r>
        <w:rPr>
          <w:rFonts w:ascii="Georgia" w:cs="Georgia" w:eastAsia="Georgia" w:hAnsi="Georgia"/>
          <w:b/>
          <w:bCs/>
          <w:color w:val="9a6b34"/>
          <w:sz w:val="18"/>
          <w:szCs w:val="18"/>
        </w:rPr>
        <w:t xml:space="preserve">Día 1º (J): América</w:t>
      </w:r>
    </w:p>
    <w:p>
      <w:pPr>
        <w:spacing w:after="40"/>
      </w:pPr>
      <w:r>
        <w:rPr>
          <w:rFonts w:ascii="Calibri" w:cs="Calibri" w:eastAsia="Calibri" w:hAnsi="Calibri"/>
          <w:color w:val="1E293B"/>
          <w:sz w:val="17"/>
          <w:szCs w:val="17"/>
        </w:rPr>
        <w:t xml:space="preserve">Salida en vuelo intercontinental con destino a París.</w:t>
      </w:r>
    </w:p>
    <w:p>
      <w:pPr>
        <w:keepNext/>
        <w:spacing w:after="0" w:before="80"/>
      </w:pPr>
      <w:r>
        <w:rPr>
          <w:rFonts w:ascii="Georgia" w:cs="Georgia" w:eastAsia="Georgia" w:hAnsi="Georgia"/>
          <w:b/>
          <w:bCs/>
          <w:color w:val="9a6b34"/>
          <w:sz w:val="18"/>
          <w:szCs w:val="18"/>
        </w:rPr>
        <w:t xml:space="preserve">Día 2º (V): París</w:t>
      </w:r>
    </w:p>
    <w:p>
      <w:pPr>
        <w:spacing w:after="40"/>
      </w:pPr>
      <w:r>
        <w:rPr>
          <w:rFonts w:ascii="Calibri" w:cs="Calibri" w:eastAsia="Calibri" w:hAnsi="Calibri"/>
          <w:color w:val="1E293B"/>
          <w:sz w:val="17"/>
          <w:szCs w:val="17"/>
        </w:rPr>
        <w:t xml:space="preserve">Llegada al aeropuerto de París y traslado al hotel. Tiempo libre para aclimatarse al horario europeo y dar un paseo por la ciudad. Su guía se pondrá en contacto con usted al final del día para hacer una primera visita nocturna de la capital, con paradas en el mirador de la torre Eiffel, la plaza Vendôme y el Arco del Triunfo. Alojamiento.</w:t>
      </w:r>
    </w:p>
    <w:p>
      <w:pPr>
        <w:keepNext/>
        <w:spacing w:after="0" w:before="80"/>
      </w:pPr>
      <w:r>
        <w:rPr>
          <w:rFonts w:ascii="Georgia" w:cs="Georgia" w:eastAsia="Georgia" w:hAnsi="Georgia"/>
          <w:b/>
          <w:bCs/>
          <w:color w:val="9a6b34"/>
          <w:sz w:val="18"/>
          <w:szCs w:val="18"/>
        </w:rPr>
        <w:t xml:space="preserve">Día 3º (S): París</w:t>
      </w:r>
    </w:p>
    <w:p>
      <w:pPr>
        <w:spacing w:after="40"/>
      </w:pPr>
      <w:r>
        <w:rPr>
          <w:rFonts w:ascii="Calibri" w:cs="Calibri" w:eastAsia="Calibri" w:hAnsi="Calibri"/>
          <w:color w:val="1E293B"/>
          <w:sz w:val="17"/>
          <w:szCs w:val="17"/>
        </w:rPr>
        <w:t xml:space="preserve">Desayuno y salida hacia la torre Eiffel para subir a su segundo nivel y contemplar la mejor vista de la ciudad. Seguimos con un paseo en barco por el río Sena para ver sus puentes y principales monumentos (Notre Dame, el Gran y el Pequeño Palacio, los museos del Louvre y D'Orsay, etc.). Después, traslado a Montmartre para almorzar, pasear por su plaza de los pintores y conocer la basílica del Sagrado Corazón. Por la tarde, tiempo libre en la zona del Louvre para hacer compras, conocer Notre Dame o pasear por el Barrio Latino. Por la noche, sugerimos asistir a un cabaret como el Molino Rojo. Alojamiento.</w:t>
      </w:r>
    </w:p>
    <w:p>
      <w:pPr>
        <w:keepNext/>
        <w:spacing w:after="0" w:before="80"/>
      </w:pPr>
      <w:r>
        <w:rPr>
          <w:rFonts w:ascii="Georgia" w:cs="Georgia" w:eastAsia="Georgia" w:hAnsi="Georgia"/>
          <w:b/>
          <w:bCs/>
          <w:color w:val="9a6b34"/>
          <w:sz w:val="18"/>
          <w:szCs w:val="18"/>
        </w:rPr>
        <w:t xml:space="preserve">Día 4º (D): París</w:t>
      </w:r>
    </w:p>
    <w:p>
      <w:pPr>
        <w:spacing w:after="40"/>
      </w:pPr>
      <w:r>
        <w:rPr>
          <w:rFonts w:ascii="Calibri" w:cs="Calibri" w:eastAsia="Calibri" w:hAnsi="Calibri"/>
          <w:color w:val="1E293B"/>
          <w:sz w:val="17"/>
          <w:szCs w:val="17"/>
        </w:rPr>
        <w:t xml:space="preserve">Desayuno y día libre para seguir explorando París. Sugerimos una excursión opcional a Brujas, ciudad medieval considerada una de las más bellas y mágicas de Europa, con su chocolate belga, sus canales, sus imponentes iglesias y su rica cerveza, entre otros atractivos. También pueden aprovechar el día visitando Versalles o sus museos. Alojamiento.</w:t>
      </w:r>
    </w:p>
    <w:p>
      <w:pPr>
        <w:keepNext/>
        <w:spacing w:after="0" w:before="80"/>
      </w:pPr>
      <w:r>
        <w:rPr>
          <w:rFonts w:ascii="Georgia" w:cs="Georgia" w:eastAsia="Georgia" w:hAnsi="Georgia"/>
          <w:b/>
          <w:bCs/>
          <w:color w:val="9a6b34"/>
          <w:sz w:val="18"/>
          <w:szCs w:val="18"/>
        </w:rPr>
        <w:t xml:space="preserve">Día 5º (L): París / Lisieux / Tours</w:t>
      </w:r>
      <w:r>
        <w:rPr>
          <w:rFonts w:ascii="Calibri" w:cs="Calibri" w:eastAsia="Calibri" w:hAnsi="Calibri"/>
          <w:color w:val="6B7280"/>
          <w:sz w:val="15"/>
          <w:szCs w:val="15"/>
        </w:rPr>
        <w:t xml:space="preserve">  ·  450 km</w:t>
      </w:r>
    </w:p>
    <w:p>
      <w:pPr>
        <w:spacing w:after="40"/>
      </w:pPr>
      <w:r>
        <w:rPr>
          <w:rFonts w:ascii="Calibri" w:cs="Calibri" w:eastAsia="Calibri" w:hAnsi="Calibri"/>
          <w:color w:val="1E293B"/>
          <w:sz w:val="17"/>
          <w:szCs w:val="17"/>
        </w:rPr>
        <w:t xml:space="preserve">Desayuno y salida hacia Lisieux, ciudad de Santa Teresita. Lisieux impacta por su espectacular Santuario, pero es también un bello pueblo donde podemos ver la auténtica Francia y la cultura normanda. Seguimos hacia el valle del Loira para conocer uno de sus famosos castillos. Al final del día, llegada a Tours y alojamiento.</w:t>
      </w:r>
    </w:p>
    <w:p>
      <w:pPr>
        <w:keepNext/>
        <w:spacing w:after="0" w:before="80"/>
      </w:pPr>
      <w:r>
        <w:rPr>
          <w:rFonts w:ascii="Georgia" w:cs="Georgia" w:eastAsia="Georgia" w:hAnsi="Georgia"/>
          <w:b/>
          <w:bCs/>
          <w:color w:val="9a6b34"/>
          <w:sz w:val="18"/>
          <w:szCs w:val="18"/>
        </w:rPr>
        <w:t xml:space="preserve">Día 6º (M): Tours / Burdeos / Lourdes</w:t>
      </w:r>
      <w:r>
        <w:rPr>
          <w:rFonts w:ascii="Calibri" w:cs="Calibri" w:eastAsia="Calibri" w:hAnsi="Calibri"/>
          <w:color w:val="6B7280"/>
          <w:sz w:val="15"/>
          <w:szCs w:val="15"/>
        </w:rPr>
        <w:t xml:space="preserve">  ·  590 km</w:t>
      </w:r>
    </w:p>
    <w:p>
      <w:pPr>
        <w:spacing w:after="40"/>
      </w:pPr>
      <w:r>
        <w:rPr>
          <w:rFonts w:ascii="Calibri" w:cs="Calibri" w:eastAsia="Calibri" w:hAnsi="Calibri"/>
          <w:color w:val="1E293B"/>
          <w:sz w:val="17"/>
          <w:szCs w:val="17"/>
        </w:rPr>
        <w:t xml:space="preserve">Desayuno y salida hacia la región vinícola más famosa del Mundo, con capital en Burdeos. Visita de la ciudad para conocer sus puentes, sus torres medievales, su plaza de la Bolsa y su catedral, antes de continuar hacia Lourdes, ciudad donde, según la tradición católica, la Virgen María se apareció varias veces a Santa Bernadette. Tiempo libre para acudir a su Santuario y a la procesión de las Antorchas. Alojamiento.</w:t>
      </w:r>
    </w:p>
    <w:p>
      <w:pPr>
        <w:keepNext/>
        <w:spacing w:after="0" w:before="80"/>
      </w:pPr>
      <w:r>
        <w:rPr>
          <w:rFonts w:ascii="Georgia" w:cs="Georgia" w:eastAsia="Georgia" w:hAnsi="Georgia"/>
          <w:b/>
          <w:bCs/>
          <w:color w:val="9a6b34"/>
          <w:sz w:val="18"/>
          <w:szCs w:val="18"/>
        </w:rPr>
        <w:t xml:space="preserve">Día 7º (X): Lourdes / S. Sebastián / Loyola / Cangas</w:t>
      </w:r>
      <w:r>
        <w:rPr>
          <w:rFonts w:ascii="Calibri" w:cs="Calibri" w:eastAsia="Calibri" w:hAnsi="Calibri"/>
          <w:color w:val="6B7280"/>
          <w:sz w:val="15"/>
          <w:szCs w:val="15"/>
        </w:rPr>
        <w:t xml:space="preserve">  ·  520 km</w:t>
      </w:r>
    </w:p>
    <w:p>
      <w:pPr>
        <w:spacing w:after="40"/>
      </w:pPr>
      <w:r>
        <w:rPr>
          <w:rFonts w:ascii="Calibri" w:cs="Calibri" w:eastAsia="Calibri" w:hAnsi="Calibri"/>
          <w:color w:val="1E293B"/>
          <w:sz w:val="17"/>
          <w:szCs w:val="17"/>
        </w:rPr>
        <w:t xml:space="preserve">Desayuno y cruce hacia España. Primera parada en San Sebastián para contemplar su Playa de la Concha, su palacio Miramar y dar un breve paseo por la ciudad más elegante del país. Seguimos hacia Loyola, bella localidad en el corazón del País Vasco y cuna de San Ignacio, junto a cuya casa natal se levantó una de las basílicas más bellas de Europa. Por la tarde, traslado a Cangas de Onís, «primera capital de España», y tiempo libre para disfrutar de la exquisita gastronomía asturiana y contemplar su famoso puente romano. Alojamiento.</w:t>
      </w:r>
    </w:p>
    <w:p>
      <w:pPr>
        <w:keepNext/>
        <w:spacing w:after="0" w:before="80"/>
      </w:pPr>
      <w:r>
        <w:rPr>
          <w:rFonts w:ascii="Georgia" w:cs="Georgia" w:eastAsia="Georgia" w:hAnsi="Georgia"/>
          <w:b/>
          <w:bCs/>
          <w:color w:val="9a6b34"/>
          <w:sz w:val="18"/>
          <w:szCs w:val="18"/>
        </w:rPr>
        <w:t xml:space="preserve">Día 8º (J): Cangas / Covadonga / Santiago</w:t>
      </w:r>
      <w:r>
        <w:rPr>
          <w:rFonts w:ascii="Calibri" w:cs="Calibri" w:eastAsia="Calibri" w:hAnsi="Calibri"/>
          <w:color w:val="6B7280"/>
          <w:sz w:val="15"/>
          <w:szCs w:val="15"/>
        </w:rPr>
        <w:t xml:space="preserve">  ·  370 km</w:t>
      </w:r>
    </w:p>
    <w:p>
      <w:pPr>
        <w:spacing w:after="40"/>
      </w:pPr>
      <w:r>
        <w:rPr>
          <w:rFonts w:ascii="Calibri" w:cs="Calibri" w:eastAsia="Calibri" w:hAnsi="Calibri"/>
          <w:color w:val="1E293B"/>
          <w:sz w:val="17"/>
          <w:szCs w:val="17"/>
        </w:rPr>
        <w:t xml:space="preserve">Desayuno y subida hacia los Picos de Europa para conocer el Santuario de Covadonga, que impacta con su Santa Cueva y las vistas de la montaña incluso a los menos creyentes. Aquí, don Pelayo y su pequeño ejército dieron inicio a la Reconquista. Continuación a Santiago con breve parada en el mirador de la playa de las Catedrales, considerada una de las más bonitas del Mundo. Llegada a Santiago y visita guiada de la ciudad, incluyendo su plaza del Obradoiro, la catedral y sus calles medievales. Tiempo libre para disfrutar del punto final del famoso Camino de peregrinación. Alojamiento.</w:t>
      </w:r>
    </w:p>
    <w:p>
      <w:pPr>
        <w:keepNext/>
        <w:spacing w:after="0" w:before="80"/>
      </w:pPr>
      <w:r>
        <w:rPr>
          <w:rFonts w:ascii="Georgia" w:cs="Georgia" w:eastAsia="Georgia" w:hAnsi="Georgia"/>
          <w:b/>
          <w:bCs/>
          <w:color w:val="9a6b34"/>
          <w:sz w:val="18"/>
          <w:szCs w:val="18"/>
        </w:rPr>
        <w:t xml:space="preserve">Día 9º (V): Santiago / Oporto / Fátima</w:t>
      </w:r>
      <w:r>
        <w:rPr>
          <w:rFonts w:ascii="Calibri" w:cs="Calibri" w:eastAsia="Calibri" w:hAnsi="Calibri"/>
          <w:color w:val="6B7280"/>
          <w:sz w:val="15"/>
          <w:szCs w:val="15"/>
        </w:rPr>
        <w:t xml:space="preserve">  ·  310 km</w:t>
      </w:r>
    </w:p>
    <w:p>
      <w:pPr>
        <w:spacing w:after="40"/>
      </w:pPr>
      <w:r>
        <w:rPr>
          <w:rFonts w:ascii="Calibri" w:cs="Calibri" w:eastAsia="Calibri" w:hAnsi="Calibri"/>
          <w:color w:val="1E293B"/>
          <w:sz w:val="17"/>
          <w:szCs w:val="17"/>
        </w:rPr>
        <w:t xml:space="preserve">Salida tras el desayuno hacia Portugal. Primera parada en Oporto: visita guiada de su centro histórico, la zona costera y, por supuesto, el agradable paseo junto al río Duero. Tiempo libre para almorzar o, opcionalmente, hacer una visita con cata a sus bodegas. Por la tarde, traslado a Fátima para conocer su Santuario y asistir a la procesión de las Velas. Alojamiento.</w:t>
      </w:r>
    </w:p>
    <w:p>
      <w:pPr>
        <w:keepNext/>
        <w:spacing w:after="0" w:before="80"/>
      </w:pPr>
      <w:r>
        <w:rPr>
          <w:rFonts w:ascii="Georgia" w:cs="Georgia" w:eastAsia="Georgia" w:hAnsi="Georgia"/>
          <w:b/>
          <w:bCs/>
          <w:color w:val="9a6b34"/>
          <w:sz w:val="18"/>
          <w:szCs w:val="18"/>
        </w:rPr>
        <w:t xml:space="preserve">Día 10º (S): Fátima / Lisboa</w:t>
      </w:r>
      <w:r>
        <w:rPr>
          <w:rFonts w:ascii="Calibri" w:cs="Calibri" w:eastAsia="Calibri" w:hAnsi="Calibri"/>
          <w:color w:val="6B7280"/>
          <w:sz w:val="15"/>
          <w:szCs w:val="15"/>
        </w:rPr>
        <w:t xml:space="preserve">  ·  130 km</w:t>
      </w:r>
    </w:p>
    <w:p>
      <w:pPr>
        <w:spacing w:after="40"/>
      </w:pPr>
      <w:r>
        <w:rPr>
          <w:rFonts w:ascii="Calibri" w:cs="Calibri" w:eastAsia="Calibri" w:hAnsi="Calibri"/>
          <w:color w:val="1E293B"/>
          <w:sz w:val="17"/>
          <w:szCs w:val="17"/>
        </w:rPr>
        <w:t xml:space="preserve">Desayuno y salida hacia Lisboa. Llegada aún por la mañana y paseo guiado para conocer las vistas desde el parque Eduardo VII, la torre de Belém, el monumento a los Descubridores y la fábrica de pasteles de nata. Tarde libre en la que sugerimos conocer el corazón de la ciudad, pasear en tranvía, hacer compras, etc. Opcionalmente, podrán asistir a un show de fados con cena para conocer la música tradicional portuguesa. Alojamiento.</w:t>
      </w:r>
    </w:p>
    <w:p>
      <w:pPr>
        <w:keepNext/>
        <w:spacing w:after="0" w:before="80"/>
      </w:pPr>
      <w:r>
        <w:rPr>
          <w:rFonts w:ascii="Georgia" w:cs="Georgia" w:eastAsia="Georgia" w:hAnsi="Georgia"/>
          <w:b/>
          <w:bCs/>
          <w:color w:val="9a6b34"/>
          <w:sz w:val="18"/>
          <w:szCs w:val="18"/>
        </w:rPr>
        <w:t xml:space="preserve">Día 11º (D): Lisboa / Guadalupe / Madrid</w:t>
      </w:r>
      <w:r>
        <w:rPr>
          <w:rFonts w:ascii="Calibri" w:cs="Calibri" w:eastAsia="Calibri" w:hAnsi="Calibri"/>
          <w:color w:val="6B7280"/>
          <w:sz w:val="15"/>
          <w:szCs w:val="15"/>
        </w:rPr>
        <w:t xml:space="preserve">  ·  700 km</w:t>
      </w:r>
    </w:p>
    <w:p>
      <w:pPr>
        <w:spacing w:after="40"/>
      </w:pPr>
      <w:r>
        <w:rPr>
          <w:rFonts w:ascii="Calibri" w:cs="Calibri" w:eastAsia="Calibri" w:hAnsi="Calibri"/>
          <w:color w:val="1E293B"/>
          <w:sz w:val="17"/>
          <w:szCs w:val="17"/>
        </w:rPr>
        <w:t xml:space="preserve">Desayuno y salida hacia Madrid con parada en Guadalupe, en el corazón de Extremadura, para visitar su Real Monasterio de Santa María, Patrimonio de la Humanidad. Alberga la venerada imagen de la Virgen de Guadalupe, patrona de Extremadura y la misma advocación que se venera en México, adonde su devoción llegó con el descubrimiento de América. Tiempo libre para almorzar y continuación hasta Madrid atravesando los paisajes de Extremadura y Castilla. Al final de la tarde, paseo por el centro histórico conociendo la Puerta del Sol, la Plaza Mayor y la Gran Vía. Alojamiento.</w:t>
      </w:r>
    </w:p>
    <w:p>
      <w:pPr>
        <w:keepNext/>
        <w:spacing w:after="0" w:before="80"/>
      </w:pPr>
      <w:r>
        <w:rPr>
          <w:rFonts w:ascii="Georgia" w:cs="Georgia" w:eastAsia="Georgia" w:hAnsi="Georgia"/>
          <w:b/>
          <w:bCs/>
          <w:color w:val="9a6b34"/>
          <w:sz w:val="18"/>
          <w:szCs w:val="18"/>
        </w:rPr>
        <w:t xml:space="preserve">Día 12º (L): Madrid / Toledo</w:t>
      </w:r>
      <w:r>
        <w:rPr>
          <w:rFonts w:ascii="Calibri" w:cs="Calibri" w:eastAsia="Calibri" w:hAnsi="Calibri"/>
          <w:color w:val="6B7280"/>
          <w:sz w:val="15"/>
          <w:szCs w:val="15"/>
        </w:rPr>
        <w:t xml:space="preserve">  ·  140 km</w:t>
      </w:r>
    </w:p>
    <w:p>
      <w:pPr>
        <w:spacing w:after="40"/>
      </w:pPr>
      <w:r>
        <w:rPr>
          <w:rFonts w:ascii="Calibri" w:cs="Calibri" w:eastAsia="Calibri" w:hAnsi="Calibri"/>
          <w:color w:val="1E293B"/>
          <w:sz w:val="17"/>
          <w:szCs w:val="17"/>
        </w:rPr>
        <w:t xml:space="preserve">Desayuno. Salida hacia Toledo, la ciudad de las Tres Culturas. Parada en el mirador panorámico y breve paseo por su centro histórico, con tiempo libre para compras y para visitar la catedral. Traslado de vuelta a Madrid y visita panorámica para conocer la plaza de toros, el Estadio Santiago Bernabéu, la fuente de Cibeles, la Puerta de Alcalá, etc. Resto de la tarde libre y alojamiento. Opcionalmente, podrán asistir a un tablao flamenco.</w:t>
      </w:r>
    </w:p>
    <w:p>
      <w:pPr>
        <w:keepNext/>
        <w:spacing w:after="0" w:before="80"/>
      </w:pPr>
      <w:r>
        <w:rPr>
          <w:rFonts w:ascii="Georgia" w:cs="Georgia" w:eastAsia="Georgia" w:hAnsi="Georgia"/>
          <w:b/>
          <w:bCs/>
          <w:color w:val="9a6b34"/>
          <w:sz w:val="18"/>
          <w:szCs w:val="18"/>
        </w:rPr>
        <w:t xml:space="preserve">Día 13º (M): Madrid / Zaragoza / Barcelona</w:t>
      </w:r>
      <w:r>
        <w:rPr>
          <w:rFonts w:ascii="Calibri" w:cs="Calibri" w:eastAsia="Calibri" w:hAnsi="Calibri"/>
          <w:color w:val="6B7280"/>
          <w:sz w:val="15"/>
          <w:szCs w:val="15"/>
        </w:rPr>
        <w:t xml:space="preserve">  ·  620 km</w:t>
      </w:r>
    </w:p>
    <w:p>
      <w:pPr>
        <w:spacing w:after="40"/>
      </w:pPr>
      <w:r>
        <w:rPr>
          <w:rFonts w:ascii="Calibri" w:cs="Calibri" w:eastAsia="Calibri" w:hAnsi="Calibri"/>
          <w:color w:val="1E293B"/>
          <w:sz w:val="17"/>
          <w:szCs w:val="17"/>
        </w:rPr>
        <w:t xml:space="preserve">Desayuno. Salida temprano hacia Zaragoza, capital de Aragón y lugar de la primera aparición de la Virgen María, en el año 40 d.C., en la Basílica del Pilar. Tiempo libre y continuación hacia Barcelona. Llegada y paseo panorámico incluyendo parada en la Sagrada Familia, el Paseo de Gracia y el mirador de Montjuïc (en los meses de invierno esta visita se hará al día siguiente). Alojamiento.</w:t>
      </w:r>
    </w:p>
    <w:p>
      <w:pPr>
        <w:keepNext/>
        <w:spacing w:after="0" w:before="80"/>
      </w:pPr>
      <w:r>
        <w:rPr>
          <w:rFonts w:ascii="Georgia" w:cs="Georgia" w:eastAsia="Georgia" w:hAnsi="Georgia"/>
          <w:b/>
          <w:bCs/>
          <w:color w:val="9a6b34"/>
          <w:sz w:val="18"/>
          <w:szCs w:val="18"/>
        </w:rPr>
        <w:t xml:space="preserve">Día 14º (X): Barcelona</w:t>
      </w:r>
    </w:p>
    <w:p>
      <w:pPr>
        <w:spacing w:after="40"/>
      </w:pPr>
      <w:r>
        <w:rPr>
          <w:rFonts w:ascii="Calibri" w:cs="Calibri" w:eastAsia="Calibri" w:hAnsi="Calibri"/>
          <w:color w:val="1E293B"/>
          <w:sz w:val="17"/>
          <w:szCs w:val="17"/>
        </w:rPr>
        <w:t xml:space="preserve">Desayuno. Día libre para pasear por las Ramblas y el barrio Gótico de la ciudad, visitar alguna de las casas de Gaudí, acercarse al Estadio del Barça, etc. Opcionalmente, podrán hacer una excursión al Santuario de Montserrat, en medio de un paisaje montañoso de especial belleza. Alojamiento.</w:t>
      </w:r>
    </w:p>
    <w:p>
      <w:pPr>
        <w:keepNext/>
        <w:spacing w:after="0" w:before="80"/>
      </w:pPr>
      <w:r>
        <w:rPr>
          <w:rFonts w:ascii="Georgia" w:cs="Georgia" w:eastAsia="Georgia" w:hAnsi="Georgia"/>
          <w:b/>
          <w:bCs/>
          <w:color w:val="9a6b34"/>
          <w:sz w:val="18"/>
          <w:szCs w:val="18"/>
        </w:rPr>
        <w:t xml:space="preserve">Día 15º (J): Barcelona</w:t>
      </w:r>
    </w:p>
    <w:p>
      <w:pPr>
        <w:spacing w:after="40"/>
      </w:pPr>
      <w:r>
        <w:rPr>
          <w:rFonts w:ascii="Calibri" w:cs="Calibri" w:eastAsia="Calibri" w:hAnsi="Calibri"/>
          <w:color w:val="1E293B"/>
          <w:sz w:val="17"/>
          <w:szCs w:val="17"/>
        </w:rPr>
        <w:t xml:space="preserve">Desayuno y traslado al aeropuerto de Barcelona a tiempo para tomar el vuelo de vuelta. Fin del viaje por Europa.</w:t>
      </w:r>
    </w:p>
    <w:p>
      <w:pPr>
        <w:sectPr>
          <w:headerReference w:type="default" r:id="rId9"/>
          <w:footerReference w:type="default" r:id="rId10"/>
          <w:type w:val="continuous"/>
          <w:pgSz w:w="11906" w:h="16838" w:orient="portrait"/>
          <w:pgMar w:top="1080" w:right="720" w:bottom="900" w:left="720" w:header="708" w:footer="708" w:gutter="0"/>
          <w:pgNumType/>
          <w:cols w:space="560" w:num="2"/>
          <w:docGrid w:linePitch="360"/>
        </w:sectPr>
      </w:pPr>
    </w:p>
    <w:p>
      <w:pPr>
        <w:keepNext/>
        <w:pBdr>
          <w:bottom w:val="single" w:color="9a6b34" w:sz="8" w:space="3"/>
        </w:pBdr>
        <w:spacing w:after="60" w:before="180"/>
      </w:pPr>
      <w:r>
        <w:rPr>
          <w:rFonts w:ascii="Georgia" w:cs="Georgia" w:eastAsia="Georgia" w:hAnsi="Georgia"/>
          <w:b/>
          <w:bCs/>
          <w:color w:val="1E293B"/>
          <w:sz w:val="22"/>
          <w:szCs w:val="22"/>
        </w:rPr>
        <w:t xml:space="preserve">Nuestro precio incluye</w:t>
      </w:r>
    </w:p>
    <w:p>
      <w:pPr>
        <w:pStyle w:val="ListParagraph"/>
        <w:numPr>
          <w:ilvl w:val="0"/>
          <w:numId w:val="1"/>
        </w:numPr>
        <w:spacing w:after="20"/>
      </w:pPr>
      <w:r>
        <w:rPr>
          <w:rFonts w:ascii="Calibri" w:cs="Calibri" w:eastAsia="Calibri" w:hAnsi="Calibri"/>
          <w:color w:val="1E293B"/>
          <w:sz w:val="18"/>
          <w:szCs w:val="18"/>
        </w:rPr>
        <w:t xml:space="preserve">Traslados aeropuerto ↔ hotel a la llegada y a la salida (uno por cada habitación reservada).</w:t>
      </w:r>
    </w:p>
    <w:p>
      <w:pPr>
        <w:pStyle w:val="ListParagraph"/>
        <w:numPr>
          <w:ilvl w:val="0"/>
          <w:numId w:val="1"/>
        </w:numPr>
        <w:spacing w:after="20"/>
      </w:pPr>
      <w:r>
        <w:rPr>
          <w:rFonts w:ascii="Calibri" w:cs="Calibri" w:eastAsia="Calibri" w:hAnsi="Calibri"/>
          <w:color w:val="1E293B"/>
          <w:sz w:val="18"/>
          <w:szCs w:val="18"/>
        </w:rPr>
        <w:t xml:space="preserve">Alojamiento y desayuno en hoteles categoría indicada.</w:t>
      </w:r>
    </w:p>
    <w:p>
      <w:pPr>
        <w:pStyle w:val="ListParagraph"/>
        <w:numPr>
          <w:ilvl w:val="0"/>
          <w:numId w:val="1"/>
        </w:numPr>
        <w:spacing w:after="20"/>
      </w:pPr>
      <w:r>
        <w:rPr>
          <w:rFonts w:ascii="Calibri" w:cs="Calibri" w:eastAsia="Calibri" w:hAnsi="Calibri"/>
          <w:color w:val="1E293B"/>
          <w:sz w:val="18"/>
          <w:szCs w:val="18"/>
        </w:rPr>
        <w:t xml:space="preserve">Transporte en autobús de turismo con guía.</w:t>
      </w:r>
    </w:p>
    <w:p>
      <w:pPr>
        <w:pStyle w:val="ListParagraph"/>
        <w:numPr>
          <w:ilvl w:val="0"/>
          <w:numId w:val="1"/>
        </w:numPr>
        <w:spacing w:after="20"/>
      </w:pPr>
      <w:r>
        <w:rPr>
          <w:rFonts w:ascii="Calibri" w:cs="Calibri" w:eastAsia="Calibri" w:hAnsi="Calibri"/>
          <w:color w:val="1E293B"/>
          <w:sz w:val="18"/>
          <w:szCs w:val="18"/>
        </w:rPr>
        <w:t xml:space="preserve">Visitas indicadas con guías locales de habla hispana.</w:t>
      </w:r>
    </w:p>
    <w:p>
      <w:pPr>
        <w:pStyle w:val="ListParagraph"/>
        <w:numPr>
          <w:ilvl w:val="0"/>
          <w:numId w:val="1"/>
        </w:numPr>
        <w:spacing w:after="20"/>
      </w:pPr>
      <w:r>
        <w:rPr>
          <w:rFonts w:ascii="Calibri" w:cs="Calibri" w:eastAsia="Calibri" w:hAnsi="Calibri"/>
          <w:color w:val="1E293B"/>
          <w:sz w:val="18"/>
          <w:szCs w:val="18"/>
        </w:rPr>
        <w:t xml:space="preserve">Seguro de asistencia en viaje.</w:t>
      </w:r>
    </w:p>
    <w:p>
      <w:pPr>
        <w:pStyle w:val="ListParagraph"/>
        <w:numPr>
          <w:ilvl w:val="0"/>
          <w:numId w:val="1"/>
        </w:numPr>
        <w:spacing w:after="20"/>
      </w:pPr>
      <w:r>
        <w:rPr>
          <w:rFonts w:ascii="Calibri" w:cs="Calibri" w:eastAsia="Calibri" w:hAnsi="Calibri"/>
          <w:color w:val="1E293B"/>
          <w:sz w:val="18"/>
          <w:szCs w:val="18"/>
        </w:rPr>
        <w:t xml:space="preserve">Visitas con audio individual.</w:t>
      </w:r>
    </w:p>
    <w:p>
      <w:pPr>
        <w:keepNext/>
        <w:pBdr>
          <w:bottom w:val="single" w:color="9a6b34" w:sz="8" w:space="3"/>
        </w:pBdr>
        <w:spacing w:after="60" w:before="180"/>
      </w:pPr>
      <w:r>
        <w:rPr>
          <w:rFonts w:ascii="Georgia" w:cs="Georgia" w:eastAsia="Georgia" w:hAnsi="Georgia"/>
          <w:b/>
          <w:bCs/>
          <w:color w:val="1E293B"/>
          <w:sz w:val="22"/>
          <w:szCs w:val="22"/>
        </w:rPr>
        <w:t xml:space="preserve">No incluye</w:t>
      </w:r>
    </w:p>
    <w:p>
      <w:pPr>
        <w:pStyle w:val="ListParagraph"/>
        <w:numPr>
          <w:ilvl w:val="0"/>
          <w:numId w:val="1"/>
        </w:numPr>
        <w:spacing w:after="20"/>
      </w:pPr>
      <w:r>
        <w:rPr>
          <w:rFonts w:ascii="Calibri" w:cs="Calibri" w:eastAsia="Calibri" w:hAnsi="Calibri"/>
          <w:color w:val="1E293B"/>
          <w:sz w:val="18"/>
          <w:szCs w:val="18"/>
        </w:rPr>
        <w:t xml:space="preserve">Tasas de estancia (pago en hotel).</w:t>
      </w:r>
    </w:p>
    <w:p>
      <w:pPr>
        <w:pStyle w:val="ListParagraph"/>
        <w:numPr>
          <w:ilvl w:val="0"/>
          <w:numId w:val="1"/>
        </w:numPr>
        <w:spacing w:after="20"/>
      </w:pPr>
      <w:r>
        <w:rPr>
          <w:rFonts w:ascii="Calibri" w:cs="Calibri" w:eastAsia="Calibri" w:hAnsi="Calibri"/>
          <w:color w:val="1E293B"/>
          <w:sz w:val="18"/>
          <w:szCs w:val="18"/>
        </w:rPr>
        <w:t xml:space="preserve">Vuelos intercontinentales.</w:t>
      </w:r>
    </w:p>
    <w:p>
      <w:pPr>
        <w:pStyle w:val="ListParagraph"/>
        <w:numPr>
          <w:ilvl w:val="0"/>
          <w:numId w:val="1"/>
        </w:numPr>
        <w:spacing w:after="20"/>
      </w:pPr>
      <w:r>
        <w:rPr>
          <w:rFonts w:ascii="Calibri" w:cs="Calibri" w:eastAsia="Calibri" w:hAnsi="Calibri"/>
          <w:color w:val="1E293B"/>
          <w:sz w:val="18"/>
          <w:szCs w:val="18"/>
        </w:rPr>
        <w:t xml:space="preserve">Bebidas en comidas no indicadas.</w:t>
      </w:r>
    </w:p>
    <w:p>
      <w:pPr>
        <w:pStyle w:val="ListParagraph"/>
        <w:numPr>
          <w:ilvl w:val="0"/>
          <w:numId w:val="1"/>
        </w:numPr>
        <w:spacing w:after="20"/>
      </w:pPr>
      <w:r>
        <w:rPr>
          <w:rFonts w:ascii="Calibri" w:cs="Calibri" w:eastAsia="Calibri" w:hAnsi="Calibri"/>
          <w:color w:val="1E293B"/>
          <w:sz w:val="18"/>
          <w:szCs w:val="18"/>
        </w:rPr>
        <w:t xml:space="preserve">Excursiones opcionales y museos no listados.</w:t>
      </w:r>
    </w:p>
    <w:p>
      <w:pPr>
        <w:keepNext/>
        <w:pBdr>
          <w:bottom w:val="single" w:color="9a6b34" w:sz="8" w:space="3"/>
        </w:pBdr>
        <w:spacing w:after="60" w:before="180"/>
      </w:pPr>
      <w:r>
        <w:rPr>
          <w:rFonts w:ascii="Georgia" w:cs="Georgia" w:eastAsia="Georgia" w:hAnsi="Georgia"/>
          <w:b/>
          <w:bCs/>
          <w:color w:val="1E293B"/>
          <w:sz w:val="22"/>
          <w:szCs w:val="22"/>
        </w:rPr>
        <w:t xml:space="preserve">Hoteles previstos o similares</w:t>
      </w:r>
    </w:p>
    <w:p>
      <w:pPr>
        <w:pStyle w:val="ListParagraph"/>
        <w:numPr>
          <w:ilvl w:val="0"/>
          <w:numId w:val="1"/>
        </w:numPr>
        <w:spacing w:after="20"/>
      </w:pPr>
      <w:r>
        <w:rPr>
          <w:rFonts w:ascii="Calibri" w:cs="Calibri" w:eastAsia="Calibri" w:hAnsi="Calibri"/>
          <w:color w:val="1E293B"/>
          <w:sz w:val="18"/>
          <w:szCs w:val="18"/>
        </w:rPr>
        <w:t xml:space="preserve">París — Tribe St. Ouen / Mercure Porte d'Orléans</w:t>
      </w:r>
    </w:p>
    <w:p>
      <w:pPr>
        <w:pStyle w:val="ListParagraph"/>
        <w:numPr>
          <w:ilvl w:val="0"/>
          <w:numId w:val="1"/>
        </w:numPr>
        <w:spacing w:after="20"/>
      </w:pPr>
      <w:r>
        <w:rPr>
          <w:rFonts w:ascii="Calibri" w:cs="Calibri" w:eastAsia="Calibri" w:hAnsi="Calibri"/>
          <w:color w:val="1E293B"/>
          <w:sz w:val="18"/>
          <w:szCs w:val="18"/>
        </w:rPr>
        <w:t xml:space="preserve">Tours — Ibis Tours Centre / Westotel</w:t>
      </w:r>
    </w:p>
    <w:p>
      <w:pPr>
        <w:pStyle w:val="ListParagraph"/>
        <w:numPr>
          <w:ilvl w:val="0"/>
          <w:numId w:val="1"/>
        </w:numPr>
        <w:spacing w:after="20"/>
      </w:pPr>
      <w:r>
        <w:rPr>
          <w:rFonts w:ascii="Calibri" w:cs="Calibri" w:eastAsia="Calibri" w:hAnsi="Calibri"/>
          <w:color w:val="1E293B"/>
          <w:sz w:val="18"/>
          <w:szCs w:val="18"/>
        </w:rPr>
        <w:t xml:space="preserve">Lourdes — Paradis / Christ Roi</w:t>
      </w:r>
    </w:p>
    <w:p>
      <w:pPr>
        <w:pStyle w:val="ListParagraph"/>
        <w:numPr>
          <w:ilvl w:val="0"/>
          <w:numId w:val="1"/>
        </w:numPr>
        <w:spacing w:after="20"/>
      </w:pPr>
      <w:r>
        <w:rPr>
          <w:rFonts w:ascii="Calibri" w:cs="Calibri" w:eastAsia="Calibri" w:hAnsi="Calibri"/>
          <w:color w:val="1E293B"/>
          <w:sz w:val="18"/>
          <w:szCs w:val="18"/>
        </w:rPr>
        <w:t xml:space="preserve">Cangas de Onís — Spa Maria Manuela / Granda</w:t>
      </w:r>
    </w:p>
    <w:p>
      <w:pPr>
        <w:pStyle w:val="ListParagraph"/>
        <w:numPr>
          <w:ilvl w:val="0"/>
          <w:numId w:val="1"/>
        </w:numPr>
        <w:spacing w:after="20"/>
      </w:pPr>
      <w:r>
        <w:rPr>
          <w:rFonts w:ascii="Calibri" w:cs="Calibri" w:eastAsia="Calibri" w:hAnsi="Calibri"/>
          <w:color w:val="1E293B"/>
          <w:sz w:val="18"/>
          <w:szCs w:val="18"/>
        </w:rPr>
        <w:t xml:space="preserve">Santiago de Compostela — Eurostars San Lázaro / Exe Peregrino</w:t>
      </w:r>
    </w:p>
    <w:p>
      <w:pPr>
        <w:pStyle w:val="ListParagraph"/>
        <w:numPr>
          <w:ilvl w:val="0"/>
          <w:numId w:val="1"/>
        </w:numPr>
        <w:spacing w:after="20"/>
      </w:pPr>
      <w:r>
        <w:rPr>
          <w:rFonts w:ascii="Calibri" w:cs="Calibri" w:eastAsia="Calibri" w:hAnsi="Calibri"/>
          <w:color w:val="1E293B"/>
          <w:sz w:val="18"/>
          <w:szCs w:val="18"/>
        </w:rPr>
        <w:t xml:space="preserve">Fátima — Aurea Fátima / Estrela</w:t>
      </w:r>
    </w:p>
    <w:p>
      <w:pPr>
        <w:pStyle w:val="ListParagraph"/>
        <w:numPr>
          <w:ilvl w:val="0"/>
          <w:numId w:val="1"/>
        </w:numPr>
        <w:spacing w:after="20"/>
      </w:pPr>
      <w:r>
        <w:rPr>
          <w:rFonts w:ascii="Calibri" w:cs="Calibri" w:eastAsia="Calibri" w:hAnsi="Calibri"/>
          <w:color w:val="1E293B"/>
          <w:sz w:val="18"/>
          <w:szCs w:val="18"/>
        </w:rPr>
        <w:t xml:space="preserve">Lisboa — Vip Arts Executive / Turim Europa</w:t>
      </w:r>
    </w:p>
    <w:p>
      <w:pPr>
        <w:pStyle w:val="ListParagraph"/>
        <w:numPr>
          <w:ilvl w:val="0"/>
          <w:numId w:val="1"/>
        </w:numPr>
        <w:spacing w:after="20"/>
      </w:pPr>
      <w:r>
        <w:rPr>
          <w:rFonts w:ascii="Calibri" w:cs="Calibri" w:eastAsia="Calibri" w:hAnsi="Calibri"/>
          <w:color w:val="1E293B"/>
          <w:sz w:val="18"/>
          <w:szCs w:val="18"/>
        </w:rPr>
        <w:t xml:space="preserve">Madrid — Praga / Elba</w:t>
      </w:r>
    </w:p>
    <w:p>
      <w:pPr>
        <w:pStyle w:val="ListParagraph"/>
        <w:numPr>
          <w:ilvl w:val="0"/>
          <w:numId w:val="1"/>
        </w:numPr>
        <w:spacing w:after="20"/>
      </w:pPr>
      <w:r>
        <w:rPr>
          <w:rFonts w:ascii="Calibri" w:cs="Calibri" w:eastAsia="Calibri" w:hAnsi="Calibri"/>
          <w:color w:val="1E293B"/>
          <w:sz w:val="18"/>
          <w:szCs w:val="18"/>
        </w:rPr>
        <w:t xml:space="preserve">Barcelona — Alexander Fira / Porta Fira</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c>
          <w:tcPr>
            <w:gridSpan w:val="2"/>
            <w:shd w:fill="9a6b34" w:color="auto" w:val="clear"/>
            <w:tcMar>
              <w:top w:type="dxa" w:w="40"/>
              <w:left w:type="dxa" w:w="80"/>
              <w:bottom w:type="dxa" w:w="40"/>
              <w:right w:type="dxa" w:w="80"/>
            </w:tcMar>
          </w:tcPr>
          <w:p>
            <w:pPr>
              <w:jc w:val="center"/>
            </w:pPr>
            <w:r>
              <w:rPr>
                <w:rFonts w:ascii="Calibri" w:cs="Calibri" w:eastAsia="Calibri" w:hAnsi="Calibri"/>
                <w:b/>
                <w:bCs/>
                <w:color w:val="FFFFFF"/>
                <w:sz w:val="18"/>
                <w:szCs w:val="18"/>
              </w:rPr>
              <w:t xml:space="preserve">PRECIO POR PERSONA EN $ USA</w:t>
            </w:r>
          </w:p>
        </w:tc>
      </w:tr>
      <w:tr>
        <w:tc>
          <w:tcPr>
            <w:shd w:fill="F4F1EA" w:color="auto" w:val="clear"/>
            <w:tcMar>
              <w:top w:type="dxa" w:w="60"/>
              <w:left w:type="dxa" w:w="80"/>
              <w:bottom w:type="dxa" w:w="60"/>
              <w:right w:type="dxa" w:w="80"/>
            </w:tcMar>
            <w:vAlign w:val="center"/>
          </w:tcPr>
          <w:p>
            <w:pPr>
              <w:spacing w:after="0"/>
              <w:jc w:val="center"/>
            </w:pPr>
            <w:r>
              <w:rPr>
                <w:rFonts w:ascii="Calibri" w:cs="Calibri" w:eastAsia="Calibri" w:hAnsi="Calibri"/>
                <w:b/>
                <w:bCs/>
                <w:color w:val="1E293B"/>
                <w:sz w:val="18"/>
                <w:szCs w:val="18"/>
              </w:rPr>
              <w:t xml:space="preserve">Habitación doble</w:t>
            </w:r>
          </w:p>
          <w:p>
            <w:pPr>
              <w:spacing w:after="0"/>
              <w:jc w:val="center"/>
            </w:pPr>
            <w:r>
              <w:rPr>
                <w:rFonts w:ascii="Calibri" w:cs="Calibri" w:eastAsia="Calibri" w:hAnsi="Calibri"/>
                <w:color w:val="6B7280"/>
                <w:sz w:val="14"/>
                <w:szCs w:val="14"/>
              </w:rPr>
              <w:t xml:space="preserve">por persona</w:t>
            </w:r>
          </w:p>
        </w:tc>
        <w:tc>
          <w:tcPr>
            <w:shd w:fill="F4F1EA" w:color="auto" w:val="clear"/>
            <w:tcMar>
              <w:top w:type="dxa" w:w="60"/>
              <w:left w:type="dxa" w:w="80"/>
              <w:bottom w:type="dxa" w:w="60"/>
              <w:right w:type="dxa" w:w="80"/>
            </w:tcMar>
            <w:vAlign w:val="center"/>
          </w:tcPr>
          <w:p>
            <w:pPr>
              <w:spacing w:after="0"/>
              <w:jc w:val="center"/>
            </w:pPr>
            <w:r>
              <w:rPr>
                <w:rFonts w:ascii="Calibri" w:cs="Calibri" w:eastAsia="Calibri" w:hAnsi="Calibri"/>
                <w:b/>
                <w:bCs/>
                <w:color w:val="1E293B"/>
                <w:sz w:val="18"/>
                <w:szCs w:val="18"/>
              </w:rPr>
              <w:t xml:space="preserve">Suplemento individual</w:t>
            </w:r>
          </w:p>
          <w:p>
            <w:pPr>
              <w:spacing w:after="0"/>
              <w:jc w:val="center"/>
            </w:pPr>
            <w:r>
              <w:rPr>
                <w:rFonts w:ascii="Calibri" w:cs="Calibri" w:eastAsia="Calibri" w:hAnsi="Calibri"/>
                <w:color w:val="6B7280"/>
                <w:sz w:val="14"/>
                <w:szCs w:val="14"/>
              </w:rPr>
              <w:t xml:space="preserve">habitación single</w:t>
            </w:r>
          </w:p>
        </w:tc>
      </w:tr>
      <w:tr>
        <w:tc>
          <w:tcPr>
            <w:tcMar>
              <w:top w:type="dxa" w:w="60"/>
              <w:left w:type="dxa" w:w="80"/>
              <w:bottom w:type="dxa" w:w="60"/>
              <w:right w:type="dxa" w:w="80"/>
            </w:tcMar>
            <w:vAlign w:val="center"/>
          </w:tcPr>
          <w:p>
            <w:pPr>
              <w:spacing w:after="0"/>
              <w:jc w:val="center"/>
            </w:pPr>
            <w:r>
              <w:rPr>
                <w:rFonts w:ascii="Georgia" w:cs="Georgia" w:eastAsia="Georgia" w:hAnsi="Georgia"/>
                <w:b/>
                <w:bCs/>
                <w:color w:val="9A1F1F"/>
                <w:sz w:val="24"/>
                <w:szCs w:val="24"/>
              </w:rPr>
              <w:t xml:space="preserve">2940$</w:t>
            </w:r>
          </w:p>
        </w:tc>
        <w:tc>
          <w:tcPr>
            <w:tcMar>
              <w:top w:type="dxa" w:w="60"/>
              <w:left w:type="dxa" w:w="80"/>
              <w:bottom w:type="dxa" w:w="60"/>
              <w:right w:type="dxa" w:w="80"/>
            </w:tcMar>
            <w:vAlign w:val="center"/>
          </w:tcPr>
          <w:p>
            <w:pPr>
              <w:spacing w:after="0"/>
              <w:jc w:val="center"/>
            </w:pPr>
            <w:r>
              <w:rPr>
                <w:rFonts w:ascii="Georgia" w:cs="Georgia" w:eastAsia="Georgia" w:hAnsi="Georgia"/>
                <w:b/>
                <w:bCs/>
                <w:color w:val="9A1F1F"/>
                <w:sz w:val="24"/>
                <w:szCs w:val="24"/>
              </w:rPr>
              <w:t xml:space="preserve">+1280$</w:t>
            </w:r>
          </w:p>
        </w:tc>
      </w:tr>
    </w:tbl>
    <w:p>
      <w:pPr>
        <w:spacing w:before="140"/>
      </w:pPr>
      <w:r>
        <w:rPr>
          <w:rFonts w:ascii="Calibri" w:cs="Calibri" w:eastAsia="Calibri" w:hAnsi="Calibri"/>
          <w:i/>
          <w:iCs/>
          <w:color w:val="6B7280"/>
          <w:sz w:val="15"/>
          <w:szCs w:val="15"/>
        </w:rPr>
        <w:t xml:space="preserve">En salidas de menos de 20 pasajeros, el viaje puede realizarse con conductor-guía (el conductor ejerce también de guía). A partir de 20 pasajeros, viajan un conductor y un guía por separado.</w:t>
      </w:r>
    </w:p>
    <w:sectPr>
      <w:headerReference w:type="default" r:id="rId11"/>
      <w:footerReference w:type="default" r:id="rId12"/>
      <w:type w:val="continuous"/>
      <w:pgSz w:w="11906" w:h="16838" w:orient="portrait"/>
      <w:pgMar w:top="1080" w:right="720" w:bottom="900" w:left="72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9D9D9" w:sz="4" w:space="4"/>
      </w:pBdr>
      <w:tabs>
        <w:tab w:val="right" w:pos="9600"/>
      </w:tabs>
    </w:pPr>
    <w:r>
      <w:rPr>
        <w:rFonts w:ascii="Calibri" w:cs="Calibri" w:eastAsia="Calibri" w:hAnsi="Calibri"/>
        <w:color w:val="6B7280"/>
        <w:sz w:val="14"/>
        <w:szCs w:val="14"/>
      </w:rPr>
      <w:t xml:space="preserve">Código de tour: KT-SA-22 · Operador: Kali Tours</w:t>
    </w:r>
    <w:r>
      <w:rPr>
        <w:color w:val="6B7280"/>
        <w:sz w:val="14"/>
        <w:szCs w:val="14"/>
      </w:rPr>
      <w:t xml:space="preserve">	kalitours.es · kalitours.info@gmail.com · +34 649 484 641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9D9D9" w:sz="4" w:space="4"/>
      </w:pBdr>
      <w:tabs>
        <w:tab w:val="right" w:pos="9600"/>
      </w:tabs>
    </w:pPr>
    <w:r>
      <w:rPr>
        <w:rFonts w:ascii="Calibri" w:cs="Calibri" w:eastAsia="Calibri" w:hAnsi="Calibri"/>
        <w:color w:val="6B7280"/>
        <w:sz w:val="14"/>
        <w:szCs w:val="14"/>
      </w:rPr>
      <w:t xml:space="preserve">Código de tour: KT-SA-22 · Operador: Kali Tours</w:t>
    </w:r>
    <w:r>
      <w:rPr>
        <w:color w:val="6B7280"/>
        <w:sz w:val="14"/>
        <w:szCs w:val="14"/>
      </w:rPr>
      <w:t xml:space="preserve">	kalitours.es · kalitours.info@gmail.com · +34 649 484 641</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9D9D9" w:sz="4" w:space="4"/>
      </w:pBdr>
      <w:tabs>
        <w:tab w:val="right" w:pos="9600"/>
      </w:tabs>
    </w:pPr>
    <w:r>
      <w:rPr>
        <w:rFonts w:ascii="Calibri" w:cs="Calibri" w:eastAsia="Calibri" w:hAnsi="Calibri"/>
        <w:color w:val="6B7280"/>
        <w:sz w:val="14"/>
        <w:szCs w:val="14"/>
      </w:rPr>
      <w:t xml:space="preserve">Código de tour: KT-SA-22 · Operador: Kali Tours</w:t>
    </w:r>
    <w:r>
      <w:rPr>
        <w:color w:val="6B7280"/>
        <w:sz w:val="14"/>
        <w:szCs w:val="14"/>
      </w:rPr>
      <w:t xml:space="preserve">	kalitours.es · kalitours.info@gmail.com · +34 649 484 641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tbl>
    <w:tblPr>
      <w:tblW w:type="pct" w:w="100%"/>
      <w:tblBorders>
        <w:top w:val="none" w:color="auto" w:sz="0"/>
        <w:left w:val="none" w:color="auto" w:sz="0"/>
        <w:bottom w:val="none" w:color="auto" w:sz="0"/>
        <w:right w:val="none" w:color="auto" w:sz="0"/>
        <w:insideH w:val="none" w:color="auto" w:sz="0"/>
        <w:insideV w:val="none" w:color="auto" w:sz="0"/>
      </w:tblBorders>
    </w:tblPr>
    <w:tblGrid>
      <w:gridCol w:w="7500"/>
      <w:gridCol w:w="3300"/>
    </w:tblGrid>
    <w:tr>
      <w:tc>
        <w:tcPr>
          <w:tcBorders>
            <w:top w:val="none" w:color="auto" w:sz="0"/>
            <w:left w:val="none" w:color="auto" w:sz="0"/>
            <w:bottom w:val="none" w:color="auto" w:sz="0"/>
            <w:right w:val="none" w:color="auto" w:sz="0"/>
          </w:tcBorders>
          <w:shd w:fill="1F2937" w:color="auto" w:val="clear"/>
          <w:tcMar>
            <w:top w:type="dxa" w:w="60"/>
            <w:left w:type="dxa" w:w="60"/>
            <w:bottom w:type="dxa" w:w="60"/>
            <w:right w:type="dxa" w:w="120"/>
          </w:tcMar>
          <w:vAlign w:val="center"/>
        </w:tcPr>
        <w:p>
          <w:r>
            <w:rPr>
              <w:rFonts w:ascii="Georgia" w:cs="Georgia" w:eastAsia="Georgia" w:hAnsi="Georgia"/>
              <w:b/>
              <w:bCs/>
              <w:color w:val="FFFFFF"/>
              <w:sz w:val="18"/>
              <w:szCs w:val="18"/>
              <w:highlight w:val="darkRed"/>
              <w:highlightCs w:val="darkRed"/>
            </w:rPr>
            <w:t xml:space="preserve"> K </w:t>
          </w:r>
          <w:r>
            <w:rPr>
              <w:rFonts w:ascii="Georgia" w:cs="Georgia" w:eastAsia="Georgia" w:hAnsi="Georgia"/>
              <w:b/>
              <w:bCs/>
              <w:color w:val="FFFFFF"/>
              <w:sz w:val="18"/>
              <w:szCs w:val="18"/>
            </w:rPr>
            <w:t xml:space="preserve">  KALI TOURS</w:t>
          </w:r>
          <w:r>
            <w:rPr>
              <w:rFonts w:ascii="Calibri" w:cs="Calibri" w:eastAsia="Calibri" w:hAnsi="Calibri"/>
              <w:color w:val="C9CDD3"/>
              <w:sz w:val="15"/>
              <w:szCs w:val="15"/>
            </w:rPr>
            <w:t xml:space="preserve">   ·   Catálogo Europa 2026-2027</w:t>
          </w:r>
        </w:p>
      </w:tc>
      <w:tc>
        <w:tcPr>
          <w:tcBorders>
            <w:top w:val="none" w:color="auto" w:sz="0"/>
            <w:left w:val="none" w:color="auto" w:sz="0"/>
            <w:bottom w:val="none" w:color="auto" w:sz="0"/>
            <w:right w:val="none" w:color="auto" w:sz="0"/>
          </w:tcBorders>
          <w:shd w:fill="1F2937" w:color="auto" w:val="clear"/>
          <w:tcMar>
            <w:top w:type="dxa" w:w="60"/>
            <w:left w:type="dxa" w:w="120"/>
            <w:bottom w:type="dxa" w:w="60"/>
            <w:right w:type="dxa" w:w="120"/>
          </w:tcMar>
          <w:vAlign w:val="center"/>
        </w:tcPr>
        <w:p>
          <w:pPr>
            <w:jc w:val="right"/>
          </w:pPr>
          <w:r>
            <w:rPr>
              <w:rFonts w:ascii="Calibri" w:cs="Calibri" w:eastAsia="Calibri" w:hAnsi="Calibri"/>
              <w:b/>
              <w:bCs/>
              <w:color w:val="FFFFFF"/>
              <w:spacing w:val="20"/>
              <w:sz w:val="15"/>
              <w:szCs w:val="15"/>
            </w:rPr>
            <w:t xml:space="preserve">CIRCUITO</w:t>
          </w:r>
          <w:r>
            <w:rPr>
              <w:color w:val="8A93A0"/>
              <w:sz w:val="15"/>
              <w:szCs w:val="15"/>
            </w:rPr>
            <w:t xml:space="preserve">  |  </w:t>
          </w:r>
          <w:r>
            <w:rPr>
              <w:color w:val="C9CDD3"/>
              <w:sz w:val="15"/>
              <w:szCs w:val="15"/>
            </w:rPr>
            <w:fldChar w:fldCharType="begin"/>
            <w:instrText xml:space="preserve">PAGE</w:instrText>
            <w:fldChar w:fldCharType="separate"/>
            <w:fldChar w:fldCharType="end"/>
            <w:t xml:space="preserve"> / </w:t>
            <w:fldChar w:fldCharType="begin"/>
            <w:instrText xml:space="preserve">NUMPAGES</w:instrText>
            <w:fldChar w:fldCharType="separate"/>
            <w:fldChar w:fldCharType="end"/>
          </w:r>
        </w:p>
      </w:tc>
    </w:tr>
  </w:tbl>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tbl>
    <w:tblPr>
      <w:tblW w:type="pct" w:w="100%"/>
      <w:tblBorders>
        <w:top w:val="none" w:color="auto" w:sz="0"/>
        <w:left w:val="none" w:color="auto" w:sz="0"/>
        <w:bottom w:val="none" w:color="auto" w:sz="0"/>
        <w:right w:val="none" w:color="auto" w:sz="0"/>
        <w:insideH w:val="none" w:color="auto" w:sz="0"/>
        <w:insideV w:val="none" w:color="auto" w:sz="0"/>
      </w:tblBorders>
    </w:tblPr>
    <w:tblGrid>
      <w:gridCol w:w="7500"/>
      <w:gridCol w:w="3300"/>
    </w:tblGrid>
    <w:tr>
      <w:tc>
        <w:tcPr>
          <w:tcBorders>
            <w:top w:val="none" w:color="auto" w:sz="0"/>
            <w:left w:val="none" w:color="auto" w:sz="0"/>
            <w:bottom w:val="none" w:color="auto" w:sz="0"/>
            <w:right w:val="none" w:color="auto" w:sz="0"/>
          </w:tcBorders>
          <w:shd w:fill="1F2937" w:color="auto" w:val="clear"/>
          <w:tcMar>
            <w:top w:type="dxa" w:w="60"/>
            <w:left w:type="dxa" w:w="60"/>
            <w:bottom w:type="dxa" w:w="60"/>
            <w:right w:type="dxa" w:w="120"/>
          </w:tcMar>
          <w:vAlign w:val="center"/>
        </w:tcPr>
        <w:p>
          <w:r>
            <w:rPr>
              <w:rFonts w:ascii="Georgia" w:cs="Georgia" w:eastAsia="Georgia" w:hAnsi="Georgia"/>
              <w:b/>
              <w:bCs/>
              <w:color w:val="FFFFFF"/>
              <w:sz w:val="18"/>
              <w:szCs w:val="18"/>
              <w:highlight w:val="darkRed"/>
              <w:highlightCs w:val="darkRed"/>
            </w:rPr>
            <w:t xml:space="preserve"> K </w:t>
          </w:r>
          <w:r>
            <w:rPr>
              <w:rFonts w:ascii="Georgia" w:cs="Georgia" w:eastAsia="Georgia" w:hAnsi="Georgia"/>
              <w:b/>
              <w:bCs/>
              <w:color w:val="FFFFFF"/>
              <w:sz w:val="18"/>
              <w:szCs w:val="18"/>
            </w:rPr>
            <w:t xml:space="preserve">  KALI TOURS</w:t>
          </w:r>
          <w:r>
            <w:rPr>
              <w:rFonts w:ascii="Calibri" w:cs="Calibri" w:eastAsia="Calibri" w:hAnsi="Calibri"/>
              <w:color w:val="C9CDD3"/>
              <w:sz w:val="15"/>
              <w:szCs w:val="15"/>
            </w:rPr>
            <w:t xml:space="preserve">   ·   Catálogo Europa 2026-2027</w:t>
          </w:r>
        </w:p>
      </w:tc>
      <w:tc>
        <w:tcPr>
          <w:tcBorders>
            <w:top w:val="none" w:color="auto" w:sz="0"/>
            <w:left w:val="none" w:color="auto" w:sz="0"/>
            <w:bottom w:val="none" w:color="auto" w:sz="0"/>
            <w:right w:val="none" w:color="auto" w:sz="0"/>
          </w:tcBorders>
          <w:shd w:fill="1F2937" w:color="auto" w:val="clear"/>
          <w:tcMar>
            <w:top w:type="dxa" w:w="60"/>
            <w:left w:type="dxa" w:w="120"/>
            <w:bottom w:type="dxa" w:w="60"/>
            <w:right w:type="dxa" w:w="120"/>
          </w:tcMar>
          <w:vAlign w:val="center"/>
        </w:tcPr>
        <w:p>
          <w:pPr>
            <w:jc w:val="right"/>
          </w:pPr>
          <w:r>
            <w:rPr>
              <w:rFonts w:ascii="Calibri" w:cs="Calibri" w:eastAsia="Calibri" w:hAnsi="Calibri"/>
              <w:b/>
              <w:bCs/>
              <w:color w:val="FFFFFF"/>
              <w:spacing w:val="20"/>
              <w:sz w:val="15"/>
              <w:szCs w:val="15"/>
            </w:rPr>
            <w:t xml:space="preserve">CIRCUITO</w:t>
          </w:r>
          <w:r>
            <w:rPr>
              <w:color w:val="8A93A0"/>
              <w:sz w:val="15"/>
              <w:szCs w:val="15"/>
            </w:rPr>
            <w:t xml:space="preserve">  |  </w:t>
          </w:r>
          <w:r>
            <w:rPr>
              <w:color w:val="C9CDD3"/>
              <w:sz w:val="15"/>
              <w:szCs w:val="15"/>
            </w:rPr>
            <w:fldChar w:fldCharType="begin"/>
            <w:instrText xml:space="preserve">PAGE</w:instrText>
            <w:fldChar w:fldCharType="separate"/>
            <w:fldChar w:fldCharType="end"/>
            <w:t xml:space="preserve"> / </w:t>
            <w:fldChar w:fldCharType="begin"/>
            <w:instrText xml:space="preserve">NUMPAGES</w:instrText>
            <w:fldChar w:fldCharType="separate"/>
            <w:fldChar w:fldCharType="end"/>
          </w:r>
        </w:p>
      </w:tc>
    </w:tr>
  </w:tbl>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tbl>
    <w:tblPr>
      <w:tblW w:type="pct" w:w="100%"/>
      <w:tblBorders>
        <w:top w:val="none" w:color="auto" w:sz="0"/>
        <w:left w:val="none" w:color="auto" w:sz="0"/>
        <w:bottom w:val="none" w:color="auto" w:sz="0"/>
        <w:right w:val="none" w:color="auto" w:sz="0"/>
        <w:insideH w:val="none" w:color="auto" w:sz="0"/>
        <w:insideV w:val="none" w:color="auto" w:sz="0"/>
      </w:tblBorders>
    </w:tblPr>
    <w:tblGrid>
      <w:gridCol w:w="7500"/>
      <w:gridCol w:w="3300"/>
    </w:tblGrid>
    <w:tr>
      <w:tc>
        <w:tcPr>
          <w:tcBorders>
            <w:top w:val="none" w:color="auto" w:sz="0"/>
            <w:left w:val="none" w:color="auto" w:sz="0"/>
            <w:bottom w:val="none" w:color="auto" w:sz="0"/>
            <w:right w:val="none" w:color="auto" w:sz="0"/>
          </w:tcBorders>
          <w:shd w:fill="1F2937" w:color="auto" w:val="clear"/>
          <w:tcMar>
            <w:top w:type="dxa" w:w="60"/>
            <w:left w:type="dxa" w:w="60"/>
            <w:bottom w:type="dxa" w:w="60"/>
            <w:right w:type="dxa" w:w="120"/>
          </w:tcMar>
          <w:vAlign w:val="center"/>
        </w:tcPr>
        <w:p>
          <w:r>
            <w:rPr>
              <w:rFonts w:ascii="Georgia" w:cs="Georgia" w:eastAsia="Georgia" w:hAnsi="Georgia"/>
              <w:b/>
              <w:bCs/>
              <w:color w:val="FFFFFF"/>
              <w:sz w:val="18"/>
              <w:szCs w:val="18"/>
              <w:highlight w:val="darkRed"/>
              <w:highlightCs w:val="darkRed"/>
            </w:rPr>
            <w:t xml:space="preserve"> K </w:t>
          </w:r>
          <w:r>
            <w:rPr>
              <w:rFonts w:ascii="Georgia" w:cs="Georgia" w:eastAsia="Georgia" w:hAnsi="Georgia"/>
              <w:b/>
              <w:bCs/>
              <w:color w:val="FFFFFF"/>
              <w:sz w:val="18"/>
              <w:szCs w:val="18"/>
            </w:rPr>
            <w:t xml:space="preserve">  KALI TOURS</w:t>
          </w:r>
          <w:r>
            <w:rPr>
              <w:rFonts w:ascii="Calibri" w:cs="Calibri" w:eastAsia="Calibri" w:hAnsi="Calibri"/>
              <w:color w:val="C9CDD3"/>
              <w:sz w:val="15"/>
              <w:szCs w:val="15"/>
            </w:rPr>
            <w:t xml:space="preserve">   ·   Catálogo Europa 2026-2027</w:t>
          </w:r>
        </w:p>
      </w:tc>
      <w:tc>
        <w:tcPr>
          <w:tcBorders>
            <w:top w:val="none" w:color="auto" w:sz="0"/>
            <w:left w:val="none" w:color="auto" w:sz="0"/>
            <w:bottom w:val="none" w:color="auto" w:sz="0"/>
            <w:right w:val="none" w:color="auto" w:sz="0"/>
          </w:tcBorders>
          <w:shd w:fill="1F2937" w:color="auto" w:val="clear"/>
          <w:tcMar>
            <w:top w:type="dxa" w:w="60"/>
            <w:left w:type="dxa" w:w="120"/>
            <w:bottom w:type="dxa" w:w="60"/>
            <w:right w:type="dxa" w:w="120"/>
          </w:tcMar>
          <w:vAlign w:val="center"/>
        </w:tcPr>
        <w:p>
          <w:pPr>
            <w:jc w:val="right"/>
          </w:pPr>
          <w:r>
            <w:rPr>
              <w:rFonts w:ascii="Calibri" w:cs="Calibri" w:eastAsia="Calibri" w:hAnsi="Calibri"/>
              <w:b/>
              <w:bCs/>
              <w:color w:val="FFFFFF"/>
              <w:spacing w:val="20"/>
              <w:sz w:val="15"/>
              <w:szCs w:val="15"/>
            </w:rPr>
            <w:t xml:space="preserve">CIRCUITO</w:t>
          </w:r>
          <w:r>
            <w:rPr>
              <w:color w:val="8A93A0"/>
              <w:sz w:val="15"/>
              <w:szCs w:val="15"/>
            </w:rPr>
            <w:t xml:space="preserve">  |  </w:t>
          </w:r>
          <w:r>
            <w:rPr>
              <w:color w:val="C9CDD3"/>
              <w:sz w:val="15"/>
              <w:szCs w:val="15"/>
            </w:rPr>
            <w:fldChar w:fldCharType="begin"/>
            <w:instrText xml:space="preserve">PAGE</w:instrText>
            <w:fldChar w:fldCharType="separate"/>
            <w:fldChar w:fldCharType="end"/>
            <w:t xml:space="preserve"> / </w:t>
            <w:fldChar w:fldCharType="begin"/>
            <w:instrText xml:space="preserve">NUMPAGES</w:instrText>
            <w:fldChar w:fldCharType="separate"/>
            <w:fldChar w:fldCharType="end"/>
          </w: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E293B"/>
        <w:sz w:val="18"/>
        <w:szCs w:val="18"/>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header" Target="header2.xml"/><Relationship Id="rId10" Type="http://schemas.openxmlformats.org/officeDocument/2006/relationships/footer" Target="footer2.xml"/><Relationship Id="rId11" Type="http://schemas.openxmlformats.org/officeDocument/2006/relationships/header" Target="header3.xml"/><Relationship Id="rId12" Type="http://schemas.openxmlformats.org/officeDocument/2006/relationships/footer" Target="footer3.xml"/><Relationship Id="rId13" Type="http://schemas.openxmlformats.org/officeDocument/2006/relationships/image" Target="media/508edd4dc8ed7ef515f3f5859733bd62c1c3855a.jpg"/><Relationship Id="rId14"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er3.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word/_rels/header3.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Santuarios y Barcelona · Kali Tours</dc:title>
  <dc:creator>Kali Tours</dc:creator>
  <cp:lastModifiedBy>Un-named</cp:lastModifiedBy>
  <cp:revision>1</cp:revision>
  <dcterms:created xsi:type="dcterms:W3CDTF">2026-09-01T23:09:47.082Z</dcterms:created>
  <dcterms:modified xsi:type="dcterms:W3CDTF">2026-09-01T23:09:47.082Z</dcterms:modified>
</cp:coreProperties>
</file>

<file path=docProps/custom.xml><?xml version="1.0" encoding="utf-8"?>
<Properties xmlns="http://schemas.openxmlformats.org/officeDocument/2006/custom-properties" xmlns:vt="http://schemas.openxmlformats.org/officeDocument/2006/docPropsVTypes"/>
</file>